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4B8B2C-ABD1-451B-A5A6-01B9F2CFF538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